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A60D3" w14:textId="34A7007F" w:rsidR="004165BA" w:rsidRPr="00506268" w:rsidRDefault="004165BA" w:rsidP="004165BA">
      <w:pPr>
        <w:rPr>
          <w:rStyle w:val="Emphasis"/>
          <w:i w:val="0"/>
          <w:iCs w:val="0"/>
        </w:rPr>
      </w:pPr>
      <w:r w:rsidRPr="00506268">
        <w:rPr>
          <w:rStyle w:val="Emphasis"/>
          <w:b/>
          <w:bCs/>
          <w:i w:val="0"/>
          <w:iCs w:val="0"/>
        </w:rPr>
        <w:t xml:space="preserve">I am writing as a member of the public to raise my concerns regarding the </w:t>
      </w:r>
      <w:r w:rsidR="009056C3" w:rsidRPr="00506268">
        <w:rPr>
          <w:rStyle w:val="Emphasis"/>
          <w:b/>
          <w:bCs/>
          <w:i w:val="0"/>
          <w:iCs w:val="0"/>
        </w:rPr>
        <w:t>Serious Violence Reduction Orders outlined in this consultation.</w:t>
      </w:r>
      <w:r w:rsidR="009056C3" w:rsidRPr="00506268">
        <w:rPr>
          <w:rStyle w:val="Emphasis"/>
          <w:i w:val="0"/>
          <w:iCs w:val="0"/>
        </w:rPr>
        <w:t xml:space="preserve"> </w:t>
      </w:r>
    </w:p>
    <w:p w14:paraId="248A3326" w14:textId="77777777" w:rsidR="004165BA" w:rsidRDefault="004165BA" w:rsidP="004165BA">
      <w:pPr>
        <w:rPr>
          <w:rStyle w:val="Emphasis"/>
        </w:rPr>
      </w:pPr>
    </w:p>
    <w:p w14:paraId="072F2E2E" w14:textId="67A11FC3" w:rsidR="004165BA" w:rsidRPr="004165BA" w:rsidRDefault="004165BA" w:rsidP="004165BA">
      <w:pPr>
        <w:rPr>
          <w:rStyle w:val="Emphasis"/>
          <w:i w:val="0"/>
          <w:iCs w:val="0"/>
        </w:rPr>
      </w:pPr>
      <w:proofErr w:type="spellStart"/>
      <w:r w:rsidRPr="004165BA">
        <w:rPr>
          <w:rStyle w:val="Emphasis"/>
          <w:i w:val="0"/>
          <w:iCs w:val="0"/>
        </w:rPr>
        <w:t>StopWatch</w:t>
      </w:r>
      <w:proofErr w:type="spellEnd"/>
      <w:r w:rsidRPr="004165BA">
        <w:rPr>
          <w:rStyle w:val="Emphasis"/>
          <w:i w:val="0"/>
          <w:iCs w:val="0"/>
        </w:rPr>
        <w:t xml:space="preserve">, </w:t>
      </w:r>
      <w:r w:rsidRPr="004165BA">
        <w:rPr>
          <w:rStyle w:val="Emphasis"/>
          <w:i w:val="0"/>
          <w:iCs w:val="0"/>
        </w:rPr>
        <w:t xml:space="preserve">a coalition of academics, activists, young people and lawyers, working towards fair, effective and accountable policing, </w:t>
      </w:r>
      <w:r w:rsidRPr="004165BA">
        <w:rPr>
          <w:rStyle w:val="Emphasis"/>
          <w:i w:val="0"/>
          <w:iCs w:val="0"/>
        </w:rPr>
        <w:t>have raised important concerns that I share:</w:t>
      </w:r>
    </w:p>
    <w:p w14:paraId="01FA8C60" w14:textId="03E7F8A6" w:rsidR="00475655" w:rsidRDefault="00475655" w:rsidP="00B91241"/>
    <w:p w14:paraId="2F1233CA" w14:textId="01947DD8" w:rsidR="00475655" w:rsidRPr="004165BA" w:rsidRDefault="004165BA" w:rsidP="004165BA">
      <w:pPr>
        <w:pStyle w:val="ListParagraph"/>
        <w:numPr>
          <w:ilvl w:val="0"/>
          <w:numId w:val="4"/>
        </w:numPr>
        <w:rPr>
          <w:b/>
          <w:bCs/>
        </w:rPr>
      </w:pPr>
      <w:r w:rsidRPr="0098691D">
        <w:t>The Police and Criminal Evidence Act 1984 outlines how the vast majority of stop and search powers in England and Wales must be used</w:t>
      </w:r>
      <w:r>
        <w:rPr>
          <w:rStyle w:val="EndnoteReference"/>
        </w:rPr>
        <w:endnoteReference w:id="1"/>
      </w:r>
      <w:r>
        <w:t xml:space="preserve"> </w:t>
      </w:r>
      <w:r>
        <w:t>– crucially, that officers require ‘reasonable suspicion’ to conduct searches</w:t>
      </w:r>
      <w:r w:rsidRPr="009437A5">
        <w:t xml:space="preserve">. </w:t>
      </w:r>
      <w:r>
        <w:t>P</w:t>
      </w:r>
      <w:r>
        <w:t>revious conviction history</w:t>
      </w:r>
      <w:r>
        <w:t xml:space="preserve"> is e</w:t>
      </w:r>
      <w:r w:rsidR="00627342">
        <w:t xml:space="preserve">xplicitly excluded from </w:t>
      </w:r>
      <w:r>
        <w:t xml:space="preserve">such </w:t>
      </w:r>
      <w:r w:rsidR="00627342">
        <w:t>reasonable suspicion.</w:t>
      </w:r>
      <w:r w:rsidR="00954444">
        <w:rPr>
          <w:rStyle w:val="EndnoteReference"/>
        </w:rPr>
        <w:endnoteReference w:id="2"/>
      </w:r>
      <w:r w:rsidR="001F7963">
        <w:t xml:space="preserve"> </w:t>
      </w:r>
      <w:r w:rsidRPr="004165BA">
        <w:t xml:space="preserve">These </w:t>
      </w:r>
      <w:r w:rsidRPr="004165BA">
        <w:rPr>
          <w:rStyle w:val="Emphasis"/>
          <w:i w:val="0"/>
          <w:iCs w:val="0"/>
        </w:rPr>
        <w:t xml:space="preserve">proposals subvert </w:t>
      </w:r>
      <w:r w:rsidRPr="004165BA">
        <w:rPr>
          <w:rStyle w:val="Emphasis"/>
          <w:i w:val="0"/>
          <w:iCs w:val="0"/>
        </w:rPr>
        <w:t xml:space="preserve">this </w:t>
      </w:r>
      <w:r w:rsidRPr="004165BA">
        <w:rPr>
          <w:rStyle w:val="Emphasis"/>
          <w:i w:val="0"/>
          <w:iCs w:val="0"/>
        </w:rPr>
        <w:t>legal safeguard on the use of stop and search.</w:t>
      </w:r>
      <w:r w:rsidRPr="004165BA">
        <w:t xml:space="preserve"> Indeed, i</w:t>
      </w:r>
      <w:r w:rsidR="00627342" w:rsidRPr="004165BA">
        <w:t>n</w:t>
      </w:r>
      <w:r w:rsidR="00627342">
        <w:t xml:space="preserve"> </w:t>
      </w:r>
      <w:r w:rsidR="00954444">
        <w:t>2010</w:t>
      </w:r>
      <w:r w:rsidR="00627342">
        <w:t xml:space="preserve">, the European Court of Human Rights ruled that search powers introduced through section 44 of the Terrorism Act 2000 were </w:t>
      </w:r>
      <w:r w:rsidR="006A3C31">
        <w:t>unlawful</w:t>
      </w:r>
      <w:r w:rsidR="00627342">
        <w:t xml:space="preserve"> precisely because these powers did not meet </w:t>
      </w:r>
      <w:r>
        <w:t xml:space="preserve">this </w:t>
      </w:r>
      <w:r w:rsidR="00627342">
        <w:t>standard of reasonable suspicion.</w:t>
      </w:r>
      <w:r w:rsidR="00954444">
        <w:rPr>
          <w:rStyle w:val="EndnoteReference"/>
        </w:rPr>
        <w:endnoteReference w:id="3"/>
      </w:r>
      <w:r w:rsidR="00627342">
        <w:t xml:space="preserve"> </w:t>
      </w:r>
    </w:p>
    <w:p w14:paraId="211C893A" w14:textId="5EC9498A" w:rsidR="00475655" w:rsidRDefault="00475655" w:rsidP="00B91241"/>
    <w:p w14:paraId="55651ED0" w14:textId="4B5AE84C" w:rsidR="00FA2208" w:rsidRDefault="007B2F9D" w:rsidP="004165BA">
      <w:pPr>
        <w:pStyle w:val="ListParagraph"/>
        <w:widowControl w:val="0"/>
        <w:numPr>
          <w:ilvl w:val="0"/>
          <w:numId w:val="4"/>
        </w:numPr>
      </w:pPr>
      <w:r>
        <w:t>BAME communities – particularly young, black men – are searched at significantly higher rates than white people</w:t>
      </w:r>
      <w:r w:rsidR="004165BA">
        <w:t>.</w:t>
      </w:r>
      <w:r w:rsidR="004165BA">
        <w:rPr>
          <w:rStyle w:val="EndnoteReference"/>
        </w:rPr>
        <w:endnoteReference w:id="4"/>
      </w:r>
      <w:r w:rsidR="004165BA">
        <w:t xml:space="preserve"> I</w:t>
      </w:r>
      <w:r w:rsidR="004165BA">
        <w:t xml:space="preserve">t </w:t>
      </w:r>
      <w:r w:rsidR="004165BA">
        <w:t>i</w:t>
      </w:r>
      <w:r w:rsidR="004165BA">
        <w:t xml:space="preserve">s highly likely that these powers will only worsen these already unacceptable disparities. </w:t>
      </w:r>
      <w:r w:rsidR="004165BA">
        <w:t>P</w:t>
      </w:r>
      <w:r w:rsidR="004165BA">
        <w:t>olicing research s</w:t>
      </w:r>
      <w:r w:rsidR="00946058">
        <w:t>uggests</w:t>
      </w:r>
      <w:r w:rsidR="004165BA">
        <w:t xml:space="preserve"> that as discretion in police stop and search practice is increased, racial disparities worsen.</w:t>
      </w:r>
      <w:r w:rsidR="004165BA">
        <w:rPr>
          <w:rStyle w:val="EndnoteReference"/>
        </w:rPr>
        <w:endnoteReference w:id="5"/>
      </w:r>
      <w:r w:rsidR="004165BA">
        <w:t xml:space="preserve"> For example, </w:t>
      </w:r>
      <w:r w:rsidR="007D37CD">
        <w:t>suspicionless</w:t>
      </w:r>
      <w:r w:rsidR="004165BA">
        <w:t xml:space="preserve"> Section 60 search</w:t>
      </w:r>
      <w:r w:rsidR="007D37CD">
        <w:t xml:space="preserve"> power</w:t>
      </w:r>
      <w:r w:rsidR="004165BA">
        <w:t>s</w:t>
      </w:r>
      <w:r w:rsidR="007D37CD" w:rsidRPr="007D37CD">
        <w:t xml:space="preserve"> ha</w:t>
      </w:r>
      <w:r w:rsidR="004165BA">
        <w:t>ve</w:t>
      </w:r>
      <w:r w:rsidR="007D37CD" w:rsidRPr="007D37CD">
        <w:t xml:space="preserve"> resulted in some of the most egregious racial disproportionalities in all policing;</w:t>
      </w:r>
      <w:r w:rsidR="007D37CD">
        <w:t xml:space="preserve"> </w:t>
      </w:r>
      <w:proofErr w:type="spellStart"/>
      <w:r w:rsidR="007D37CD">
        <w:t>StopWatch</w:t>
      </w:r>
      <w:proofErr w:type="spellEnd"/>
      <w:r w:rsidR="007D37CD">
        <w:t xml:space="preserve"> analysis of police data found that</w:t>
      </w:r>
      <w:r w:rsidR="007D37CD" w:rsidRPr="007D37CD">
        <w:t xml:space="preserve"> in 2018/19, black people were searched under Section 60 at almost 45 times the rate of white people.</w:t>
      </w:r>
    </w:p>
    <w:p w14:paraId="67E0CC1B" w14:textId="77777777" w:rsidR="007B2F9D" w:rsidRPr="00FA2208" w:rsidRDefault="007B2F9D" w:rsidP="00B91241"/>
    <w:p w14:paraId="2C63A9FF" w14:textId="310B2F0D" w:rsidR="00EA3B2B" w:rsidRPr="004165BA" w:rsidRDefault="004165BA" w:rsidP="004165BA">
      <w:pPr>
        <w:pStyle w:val="ListParagraph"/>
        <w:numPr>
          <w:ilvl w:val="0"/>
          <w:numId w:val="4"/>
        </w:numPr>
        <w:rPr>
          <w:b/>
          <w:bCs/>
        </w:rPr>
      </w:pPr>
      <w:r w:rsidRPr="00946058">
        <w:t>Evidence suggests i</w:t>
      </w:r>
      <w:r w:rsidR="00E27432" w:rsidRPr="00946058">
        <w:t xml:space="preserve">ncreasingly punitive </w:t>
      </w:r>
      <w:r w:rsidRPr="00946058">
        <w:t xml:space="preserve">stop and search </w:t>
      </w:r>
      <w:r w:rsidR="00E27432" w:rsidRPr="00946058">
        <w:t>powers do little to reduce violence</w:t>
      </w:r>
      <w:r w:rsidRPr="00946058">
        <w:t>.</w:t>
      </w:r>
      <w:r w:rsidRPr="004165BA">
        <w:rPr>
          <w:rStyle w:val="EndnoteReference"/>
        </w:rPr>
        <w:t xml:space="preserve"> </w:t>
      </w:r>
      <w:r>
        <w:rPr>
          <w:rStyle w:val="EndnoteReference"/>
        </w:rPr>
        <w:endnoteReference w:id="6"/>
      </w:r>
      <w:r w:rsidRPr="004165BA">
        <w:rPr>
          <w:b/>
          <w:bCs/>
        </w:rPr>
        <w:t xml:space="preserve"> </w:t>
      </w:r>
      <w:r w:rsidR="004B5645">
        <w:t>A</w:t>
      </w:r>
      <w:r w:rsidR="00280CF7">
        <w:t xml:space="preserve"> successful public health strategy</w:t>
      </w:r>
      <w:r w:rsidR="004B5645">
        <w:t xml:space="preserve"> </w:t>
      </w:r>
      <w:r w:rsidR="00280CF7">
        <w:t xml:space="preserve">for reducing serious violence </w:t>
      </w:r>
      <w:r>
        <w:t xml:space="preserve">as </w:t>
      </w:r>
      <w:r w:rsidR="00280CF7">
        <w:t xml:space="preserve">demonstrated </w:t>
      </w:r>
      <w:r>
        <w:t>in Scotland</w:t>
      </w:r>
      <w:r w:rsidR="00B22D1A">
        <w:rPr>
          <w:rStyle w:val="EndnoteReference"/>
        </w:rPr>
        <w:endnoteReference w:id="7"/>
      </w:r>
      <w:r w:rsidR="00B22D1A">
        <w:t xml:space="preserve"> </w:t>
      </w:r>
      <w:r>
        <w:t>and</w:t>
      </w:r>
      <w:r w:rsidR="00B22D1A">
        <w:t xml:space="preserve"> endorsed by the World Health Organisation</w:t>
      </w:r>
      <w:r w:rsidR="00B22D1A">
        <w:rPr>
          <w:rStyle w:val="EndnoteReference"/>
        </w:rPr>
        <w:endnoteReference w:id="8"/>
      </w:r>
      <w:r w:rsidR="00280CF7">
        <w:t xml:space="preserve"> </w:t>
      </w:r>
      <w:r>
        <w:t xml:space="preserve">should be considered. </w:t>
      </w:r>
    </w:p>
    <w:p w14:paraId="1B0EDA05" w14:textId="77777777" w:rsidR="00946058" w:rsidRPr="00B22D1A" w:rsidRDefault="00946058" w:rsidP="00B91241"/>
    <w:p w14:paraId="53B4A010" w14:textId="10D69546" w:rsidR="00B22D1A" w:rsidRDefault="004165BA" w:rsidP="00B91241">
      <w:pPr>
        <w:rPr>
          <w:b/>
          <w:bCs/>
        </w:rPr>
      </w:pPr>
      <w:r>
        <w:rPr>
          <w:b/>
          <w:bCs/>
        </w:rPr>
        <w:t>I object to these proposals.</w:t>
      </w:r>
    </w:p>
    <w:p w14:paraId="37CADF0B" w14:textId="77777777" w:rsidR="004165BA" w:rsidRPr="00B22D1A" w:rsidRDefault="004165BA" w:rsidP="00B91241"/>
    <w:sectPr w:rsidR="004165BA" w:rsidRPr="00B22D1A" w:rsidSect="003A4F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E4080" w14:textId="77777777" w:rsidR="00F146F2" w:rsidRDefault="00F146F2" w:rsidP="00E27432">
      <w:r>
        <w:separator/>
      </w:r>
    </w:p>
  </w:endnote>
  <w:endnote w:type="continuationSeparator" w:id="0">
    <w:p w14:paraId="517E7476" w14:textId="77777777" w:rsidR="00F146F2" w:rsidRDefault="00F146F2" w:rsidP="00E27432">
      <w:r>
        <w:continuationSeparator/>
      </w:r>
    </w:p>
  </w:endnote>
  <w:endnote w:id="1">
    <w:p w14:paraId="5A388D48" w14:textId="77777777" w:rsidR="004165BA" w:rsidRPr="00A16B29" w:rsidRDefault="004165BA" w:rsidP="004165BA">
      <w:pPr>
        <w:pStyle w:val="EndnoteText"/>
        <w:rPr>
          <w:sz w:val="16"/>
          <w:szCs w:val="16"/>
        </w:rPr>
      </w:pPr>
      <w:r w:rsidRPr="00A16B29">
        <w:rPr>
          <w:rStyle w:val="EndnoteReference"/>
          <w:sz w:val="16"/>
          <w:szCs w:val="16"/>
        </w:rPr>
        <w:endnoteRef/>
      </w:r>
      <w:r w:rsidRPr="00A16B29">
        <w:rPr>
          <w:sz w:val="16"/>
          <w:szCs w:val="16"/>
        </w:rPr>
        <w:t xml:space="preserve"> Home Office. 2015. PACE Code A 2015.</w:t>
      </w:r>
    </w:p>
  </w:endnote>
  <w:endnote w:id="2">
    <w:p w14:paraId="12BCDAD3" w14:textId="06E305D1" w:rsidR="00954444" w:rsidRPr="00A16B29" w:rsidRDefault="00954444">
      <w:pPr>
        <w:pStyle w:val="EndnoteText"/>
        <w:rPr>
          <w:sz w:val="16"/>
          <w:szCs w:val="16"/>
        </w:rPr>
      </w:pPr>
      <w:r w:rsidRPr="00A16B29">
        <w:rPr>
          <w:rStyle w:val="EndnoteReference"/>
          <w:sz w:val="16"/>
          <w:szCs w:val="16"/>
        </w:rPr>
        <w:endnoteRef/>
      </w:r>
      <w:r w:rsidRPr="00A16B29">
        <w:rPr>
          <w:sz w:val="16"/>
          <w:szCs w:val="16"/>
        </w:rPr>
        <w:t xml:space="preserve"> Home Office. 2015. PACE Code A 2015. p. 6.</w:t>
      </w:r>
    </w:p>
  </w:endnote>
  <w:endnote w:id="3">
    <w:p w14:paraId="057B44D5" w14:textId="7F5FCC2E" w:rsidR="00954444" w:rsidRPr="00A16B29" w:rsidRDefault="00954444">
      <w:pPr>
        <w:pStyle w:val="EndnoteText"/>
        <w:rPr>
          <w:sz w:val="16"/>
          <w:szCs w:val="16"/>
        </w:rPr>
      </w:pPr>
      <w:r w:rsidRPr="00A16B29">
        <w:rPr>
          <w:rStyle w:val="EndnoteReference"/>
          <w:sz w:val="16"/>
          <w:szCs w:val="16"/>
        </w:rPr>
        <w:endnoteRef/>
      </w:r>
      <w:r w:rsidRPr="00A16B29">
        <w:rPr>
          <w:sz w:val="16"/>
          <w:szCs w:val="16"/>
        </w:rPr>
        <w:t xml:space="preserve"> Equality and Human Rights Commission. 2010. Stop and think: A critical review of the use of stop and search powers in England and Wales.</w:t>
      </w:r>
    </w:p>
  </w:endnote>
  <w:endnote w:id="4">
    <w:p w14:paraId="5DC1FB48" w14:textId="013BAED7" w:rsidR="004165BA" w:rsidRPr="00A16B29" w:rsidRDefault="004165BA" w:rsidP="004165BA">
      <w:pPr>
        <w:pStyle w:val="EndnoteText"/>
        <w:rPr>
          <w:sz w:val="16"/>
          <w:szCs w:val="16"/>
        </w:rPr>
      </w:pPr>
      <w:r w:rsidRPr="00A16B29">
        <w:rPr>
          <w:rStyle w:val="EndnoteReference"/>
          <w:sz w:val="16"/>
          <w:szCs w:val="16"/>
        </w:rPr>
        <w:endnoteRef/>
      </w:r>
      <w:r w:rsidRPr="00A16B29">
        <w:rPr>
          <w:sz w:val="16"/>
          <w:szCs w:val="16"/>
        </w:rPr>
        <w:t xml:space="preserve"> </w:t>
      </w:r>
      <w:r w:rsidRPr="004C148E">
        <w:rPr>
          <w:sz w:val="16"/>
          <w:szCs w:val="16"/>
        </w:rPr>
        <w:t xml:space="preserve">Gov.uk. 2020. Police powers and procedures, England and Wales, year ending 31 March 2020. </w:t>
      </w:r>
      <w:hyperlink r:id="rId1" w:history="1">
        <w:r w:rsidRPr="003770D2">
          <w:rPr>
            <w:rStyle w:val="Hyperlink"/>
            <w:sz w:val="16"/>
            <w:szCs w:val="16"/>
          </w:rPr>
          <w:t>https://www.gov.uk/government/statistics/police-powers-and-procedures-england-and-wales-year-ending-31-march-2020</w:t>
        </w:r>
      </w:hyperlink>
      <w:r>
        <w:rPr>
          <w:sz w:val="16"/>
          <w:szCs w:val="16"/>
        </w:rPr>
        <w:t xml:space="preserve">; </w:t>
      </w:r>
      <w:r w:rsidRPr="00A16B29">
        <w:rPr>
          <w:sz w:val="16"/>
          <w:szCs w:val="16"/>
        </w:rPr>
        <w:t>BBC Politics London. Aired 1 March 2020. https://www.bbc.co.uk/programmes/m000g1bh</w:t>
      </w:r>
    </w:p>
  </w:endnote>
  <w:endnote w:id="5">
    <w:p w14:paraId="1B225FDA" w14:textId="77777777" w:rsidR="004165BA" w:rsidRPr="00A16B29" w:rsidRDefault="004165BA" w:rsidP="004165BA">
      <w:pPr>
        <w:pStyle w:val="EndnoteText"/>
        <w:rPr>
          <w:sz w:val="16"/>
          <w:szCs w:val="16"/>
        </w:rPr>
      </w:pPr>
      <w:r w:rsidRPr="00A16B29">
        <w:rPr>
          <w:rStyle w:val="EndnoteReference"/>
          <w:sz w:val="16"/>
          <w:szCs w:val="16"/>
        </w:rPr>
        <w:endnoteRef/>
      </w:r>
      <w:r w:rsidRPr="00A16B29">
        <w:rPr>
          <w:sz w:val="16"/>
          <w:szCs w:val="16"/>
        </w:rPr>
        <w:t xml:space="preserve"> e.g. Bowling, B. and Marks, E., 2017. The rise and fall of suspicionless searches. King's Law Journal, 28(1), pp.62-88.</w:t>
      </w:r>
    </w:p>
  </w:endnote>
  <w:endnote w:id="6">
    <w:p w14:paraId="1BEF90B9" w14:textId="77777777" w:rsidR="004165BA" w:rsidRPr="00A16B29" w:rsidRDefault="004165BA" w:rsidP="004165BA">
      <w:pPr>
        <w:pStyle w:val="EndnoteText"/>
        <w:rPr>
          <w:sz w:val="16"/>
          <w:szCs w:val="16"/>
        </w:rPr>
      </w:pPr>
      <w:r w:rsidRPr="00A16B29">
        <w:rPr>
          <w:rStyle w:val="EndnoteReference"/>
          <w:sz w:val="16"/>
          <w:szCs w:val="16"/>
        </w:rPr>
        <w:endnoteRef/>
      </w:r>
      <w:r w:rsidRPr="00A16B29">
        <w:rPr>
          <w:sz w:val="16"/>
          <w:szCs w:val="16"/>
        </w:rPr>
        <w:t xml:space="preserve"> </w:t>
      </w:r>
      <w:proofErr w:type="spellStart"/>
      <w:r w:rsidRPr="00A16B29">
        <w:rPr>
          <w:sz w:val="16"/>
          <w:szCs w:val="16"/>
        </w:rPr>
        <w:t>Delsol</w:t>
      </w:r>
      <w:proofErr w:type="spellEnd"/>
      <w:r w:rsidRPr="00A16B29">
        <w:rPr>
          <w:sz w:val="16"/>
          <w:szCs w:val="16"/>
        </w:rPr>
        <w:t xml:space="preserve">, R. (2015) ‘Effectiveness’ in R. </w:t>
      </w:r>
      <w:proofErr w:type="spellStart"/>
      <w:r w:rsidRPr="00A16B29">
        <w:rPr>
          <w:sz w:val="16"/>
          <w:szCs w:val="16"/>
        </w:rPr>
        <w:t>Delsol</w:t>
      </w:r>
      <w:proofErr w:type="spellEnd"/>
      <w:r w:rsidRPr="00A16B29">
        <w:rPr>
          <w:sz w:val="16"/>
          <w:szCs w:val="16"/>
        </w:rPr>
        <w:t xml:space="preserve"> and M. Shiner (eds) Stop and Search: The Anatomy of a Police Power, Basingstoke: Palgrave Macmillan; Ward, L., Nicholas, S., and Willoughby, M. 2011. An Assessment of the Tackling Knives and Serious Youth Violence Action Programme (TKAP) – Phase II, London: Home Office; https://www.gov.uk/government/publications/an-assessment-of-the-tackling-knives-andserious-youth-violence-action-programme-tkap-phase-ll; McCandless, R., Feist, A., Allan, J. and Morgan, N. 2016. Do Initiatives Involving Substantial Increases in Stop and Search Reduce Crime? Assessing the Impact of Operation BLUNT 2, London: Home Office https://www.gov.uk/government/uploads/system/uploads/attachment_data/file/508661/stop-search-operation-blunt-2.pdf.</w:t>
      </w:r>
    </w:p>
  </w:endnote>
  <w:endnote w:id="7">
    <w:p w14:paraId="53A6D005" w14:textId="1708667E" w:rsidR="00B22D1A" w:rsidRPr="00A16B29" w:rsidRDefault="00B22D1A">
      <w:pPr>
        <w:pStyle w:val="EndnoteText"/>
        <w:rPr>
          <w:sz w:val="16"/>
          <w:szCs w:val="16"/>
        </w:rPr>
      </w:pPr>
      <w:r w:rsidRPr="00A16B29">
        <w:rPr>
          <w:rStyle w:val="EndnoteReference"/>
          <w:sz w:val="16"/>
          <w:szCs w:val="16"/>
        </w:rPr>
        <w:endnoteRef/>
      </w:r>
      <w:r w:rsidRPr="00A16B29">
        <w:rPr>
          <w:sz w:val="16"/>
          <w:szCs w:val="16"/>
        </w:rPr>
        <w:t xml:space="preserve"> Scottish Government. n.d. Crime prevention. https://www.gov.scot/policies/crime-prevention-and-reduction/violence-knife-crime/</w:t>
      </w:r>
    </w:p>
  </w:endnote>
  <w:endnote w:id="8">
    <w:p w14:paraId="18CAE2B2" w14:textId="0E4286D2" w:rsidR="00B22D1A" w:rsidRPr="00A16B29" w:rsidRDefault="00B22D1A">
      <w:pPr>
        <w:pStyle w:val="EndnoteText"/>
        <w:rPr>
          <w:sz w:val="16"/>
          <w:szCs w:val="16"/>
        </w:rPr>
      </w:pPr>
      <w:r w:rsidRPr="00A16B29">
        <w:rPr>
          <w:rStyle w:val="EndnoteReference"/>
          <w:sz w:val="16"/>
          <w:szCs w:val="16"/>
        </w:rPr>
        <w:endnoteRef/>
      </w:r>
      <w:r w:rsidRPr="00A16B29">
        <w:rPr>
          <w:sz w:val="16"/>
          <w:szCs w:val="16"/>
        </w:rPr>
        <w:t xml:space="preserve"> World Health Organisation. n.d. Violence and injuries. https://www.euro.who.int/en/health-topics/disease-prevention/violence-and-injuries/violence-and-injuries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AB1C6" w14:textId="77777777" w:rsidR="00F146F2" w:rsidRDefault="00F146F2" w:rsidP="00E27432">
      <w:r>
        <w:separator/>
      </w:r>
    </w:p>
  </w:footnote>
  <w:footnote w:type="continuationSeparator" w:id="0">
    <w:p w14:paraId="0A83EB00" w14:textId="77777777" w:rsidR="00F146F2" w:rsidRDefault="00F146F2" w:rsidP="00E27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E0801"/>
    <w:multiLevelType w:val="hybridMultilevel"/>
    <w:tmpl w:val="7FD6B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873B7"/>
    <w:multiLevelType w:val="hybridMultilevel"/>
    <w:tmpl w:val="2ED28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0C40"/>
    <w:multiLevelType w:val="hybridMultilevel"/>
    <w:tmpl w:val="FE0E0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F66AD"/>
    <w:multiLevelType w:val="hybridMultilevel"/>
    <w:tmpl w:val="F04052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43"/>
    <w:rsid w:val="00014CCD"/>
    <w:rsid w:val="000522C6"/>
    <w:rsid w:val="00061217"/>
    <w:rsid w:val="000630F2"/>
    <w:rsid w:val="00071CEB"/>
    <w:rsid w:val="000A1C91"/>
    <w:rsid w:val="000A402C"/>
    <w:rsid w:val="000A487C"/>
    <w:rsid w:val="000D4CED"/>
    <w:rsid w:val="000E31AD"/>
    <w:rsid w:val="00142823"/>
    <w:rsid w:val="0014346A"/>
    <w:rsid w:val="00192F7C"/>
    <w:rsid w:val="001D7FAF"/>
    <w:rsid w:val="001E7A10"/>
    <w:rsid w:val="001F7963"/>
    <w:rsid w:val="00280CF7"/>
    <w:rsid w:val="00287AA0"/>
    <w:rsid w:val="00314982"/>
    <w:rsid w:val="0031708A"/>
    <w:rsid w:val="00327608"/>
    <w:rsid w:val="0034097E"/>
    <w:rsid w:val="0034754A"/>
    <w:rsid w:val="00391AAC"/>
    <w:rsid w:val="003A4C55"/>
    <w:rsid w:val="003A4F7D"/>
    <w:rsid w:val="003B12D3"/>
    <w:rsid w:val="003C7C92"/>
    <w:rsid w:val="004165BA"/>
    <w:rsid w:val="004208B0"/>
    <w:rsid w:val="00475655"/>
    <w:rsid w:val="004B01D3"/>
    <w:rsid w:val="004B5645"/>
    <w:rsid w:val="004E375A"/>
    <w:rsid w:val="00504A6E"/>
    <w:rsid w:val="00506268"/>
    <w:rsid w:val="00524FE8"/>
    <w:rsid w:val="00536CEA"/>
    <w:rsid w:val="00580910"/>
    <w:rsid w:val="00587385"/>
    <w:rsid w:val="00597449"/>
    <w:rsid w:val="005E2044"/>
    <w:rsid w:val="005E2660"/>
    <w:rsid w:val="00600F18"/>
    <w:rsid w:val="00603917"/>
    <w:rsid w:val="0060609B"/>
    <w:rsid w:val="00627342"/>
    <w:rsid w:val="00642CFC"/>
    <w:rsid w:val="006618B6"/>
    <w:rsid w:val="006A00D6"/>
    <w:rsid w:val="006A3C31"/>
    <w:rsid w:val="006A4D01"/>
    <w:rsid w:val="006C3EAD"/>
    <w:rsid w:val="006C52C5"/>
    <w:rsid w:val="0070506C"/>
    <w:rsid w:val="007667EC"/>
    <w:rsid w:val="007A10EE"/>
    <w:rsid w:val="007B2F9D"/>
    <w:rsid w:val="007D37CD"/>
    <w:rsid w:val="007E0E54"/>
    <w:rsid w:val="007E2EC7"/>
    <w:rsid w:val="008672F0"/>
    <w:rsid w:val="00870D43"/>
    <w:rsid w:val="00886366"/>
    <w:rsid w:val="0088685D"/>
    <w:rsid w:val="008C060C"/>
    <w:rsid w:val="009056C3"/>
    <w:rsid w:val="00943D1D"/>
    <w:rsid w:val="00946058"/>
    <w:rsid w:val="00947D70"/>
    <w:rsid w:val="00954444"/>
    <w:rsid w:val="00957F7C"/>
    <w:rsid w:val="00962225"/>
    <w:rsid w:val="00974FB4"/>
    <w:rsid w:val="0098108A"/>
    <w:rsid w:val="0098691D"/>
    <w:rsid w:val="009B0DD2"/>
    <w:rsid w:val="009B7B7E"/>
    <w:rsid w:val="009E4CB9"/>
    <w:rsid w:val="009F0DA4"/>
    <w:rsid w:val="00A16B29"/>
    <w:rsid w:val="00A5353E"/>
    <w:rsid w:val="00A57E92"/>
    <w:rsid w:val="00A7715D"/>
    <w:rsid w:val="00B22D1A"/>
    <w:rsid w:val="00B61C9E"/>
    <w:rsid w:val="00B6461C"/>
    <w:rsid w:val="00B80D89"/>
    <w:rsid w:val="00B86873"/>
    <w:rsid w:val="00B871E4"/>
    <w:rsid w:val="00B91241"/>
    <w:rsid w:val="00BC0DE4"/>
    <w:rsid w:val="00C057D7"/>
    <w:rsid w:val="00C32181"/>
    <w:rsid w:val="00C51981"/>
    <w:rsid w:val="00C51C6A"/>
    <w:rsid w:val="00C55396"/>
    <w:rsid w:val="00C7330E"/>
    <w:rsid w:val="00C81990"/>
    <w:rsid w:val="00CC04C5"/>
    <w:rsid w:val="00CF1375"/>
    <w:rsid w:val="00D05FEE"/>
    <w:rsid w:val="00D333E9"/>
    <w:rsid w:val="00D81D17"/>
    <w:rsid w:val="00D87F2D"/>
    <w:rsid w:val="00D9086E"/>
    <w:rsid w:val="00DC471C"/>
    <w:rsid w:val="00DD2FBE"/>
    <w:rsid w:val="00DF0332"/>
    <w:rsid w:val="00E05863"/>
    <w:rsid w:val="00E125E7"/>
    <w:rsid w:val="00E27432"/>
    <w:rsid w:val="00E6540D"/>
    <w:rsid w:val="00E75AE3"/>
    <w:rsid w:val="00E97C06"/>
    <w:rsid w:val="00EA34D0"/>
    <w:rsid w:val="00EA3B2B"/>
    <w:rsid w:val="00EB4BC3"/>
    <w:rsid w:val="00ED14EA"/>
    <w:rsid w:val="00EF738C"/>
    <w:rsid w:val="00F126BF"/>
    <w:rsid w:val="00F146F2"/>
    <w:rsid w:val="00F2699F"/>
    <w:rsid w:val="00F35F44"/>
    <w:rsid w:val="00F844CD"/>
    <w:rsid w:val="00FA2208"/>
    <w:rsid w:val="00FC4811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2541844"/>
  <w15:chartTrackingRefBased/>
  <w15:docId w15:val="{59086E97-BE1C-DE47-98E9-F62D970B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6C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274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74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743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54444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444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44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5444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434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266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37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7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B5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statistics/police-powers-and-procedures-england-and-wales-year-ending-31-march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AB5381-F74B-844A-A5F8-3897FC85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274</Words>
  <Characters>1562</Characters>
  <Application>Microsoft Office Word</Application>
  <DocSecurity>0</DocSecurity>
  <Lines>30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Bryant,LE (pgr)</dc:creator>
  <cp:keywords/>
  <dc:description/>
  <cp:lastModifiedBy>Bryant,LE (pgr)</cp:lastModifiedBy>
  <cp:revision>5</cp:revision>
  <dcterms:created xsi:type="dcterms:W3CDTF">2020-11-03T22:07:00Z</dcterms:created>
  <dcterms:modified xsi:type="dcterms:W3CDTF">2020-11-03T22:33:00Z</dcterms:modified>
</cp:coreProperties>
</file>